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horzAnchor="page" w:tblpX="3574" w:vertAnchor="text" w:tblpY="31" w:leftFromText="141" w:rightFromText="141" w:topFromText="0" w:bottomFromText="0"/>
        <w:tblOverlap w:val="never"/>
        <w:name w:val="Таблица1"/>
        <w:tabOrder w:val="0"/>
        <w:jc w:val="left"/>
        <w:tblInd w:w="0" w:type="dxa"/>
        <w:tblW w:w="1668" w:type="dxa"/>
      </w:tblPr>
      <w:tblGrid>
        <w:gridCol w:w="392"/>
        <w:gridCol w:w="425"/>
        <w:gridCol w:w="425"/>
        <w:gridCol w:w="426"/>
      </w:tblGrid>
      <w:tr>
        <w:trPr>
          <w:tblHeader w:val="0"/>
          <w:cantSplit w:val="0"/>
          <w:trHeight w:val="0" w:hRule="auto"/>
        </w:trPr>
        <w:tc>
          <w:tcPr>
            <w:tcW w:w="3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par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para3"/>
        <w:spacing w:line="360" w:lineRule="auto"/>
        <w:rPr>
          <w:rFonts w:ascii="Times New Roman" w:hAnsi="Times New Roman" w:cs="Times New Roman"/>
          <w:i/>
          <w:sz w:val="22"/>
          <w:szCs w:val="22"/>
          <w:lang w:val="bg-bg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(код и наименование) </w:t>
      </w:r>
      <w:r>
        <w:rPr>
          <w:rFonts w:ascii="Times New Roman" w:hAnsi="Times New Roman" w:cs="Times New Roman"/>
          <w:i/>
          <w:sz w:val="22"/>
          <w:szCs w:val="22"/>
          <w:lang w:val="bg-bg"/>
        </w:rPr>
      </w:r>
    </w:p>
    <w:p>
      <w:pPr>
        <w:pStyle w:val="para3"/>
        <w:spacing w:line="360" w:lineRule="auto"/>
        <w:rPr>
          <w:rFonts w:ascii="Times New Roman" w:hAnsi="Times New Roman" w:cs="Times New Roman"/>
          <w:i/>
          <w:sz w:val="22"/>
          <w:szCs w:val="22"/>
          <w:lang w:val="bg-bg"/>
        </w:rPr>
      </w:pPr>
      <w:r>
        <w:rPr>
          <w:rFonts w:ascii="Times New Roman" w:hAnsi="Times New Roman" w:cs="Times New Roman"/>
          <w:i/>
          <w:sz w:val="22"/>
          <w:szCs w:val="22"/>
          <w:lang w:val="bg-bg"/>
        </w:rPr>
        <w:t xml:space="preserve">ЛИТЕРАТУРНИЯТ ГРАД (ПРЕДСТАВИ ЗА  ГРАДА В БЪЛГАРСКАТА ЛИТЕРАТУРА ОТ НАЧАЛОТО НА ХХ ВЕК) 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sz w:val="24"/>
          <w:szCs w:val="24"/>
          <w:lang w:val="bg-bg" w:eastAsia="zh-cn"/>
        </w:rPr>
      </w:pPr>
      <w:r>
        <w:rPr>
          <w:rFonts w:ascii="Times New Roman" w:hAnsi="Times New Roman" w:cs="Times New Roman"/>
          <w:sz w:val="24"/>
          <w:szCs w:val="24"/>
          <w:lang w:val="bg-bg" w:eastAsia="zh-cn"/>
        </w:rPr>
        <w:t>гл. ас. д-р Биляна Борисова</w:t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2"/>
        <w:tabOrder w:val="0"/>
        <w:jc w:val="left"/>
        <w:tblInd w:w="0" w:type="dxa"/>
        <w:tblW w:w="9039" w:type="dxa"/>
      </w:tblPr>
      <w:tblGrid>
        <w:gridCol w:w="2093"/>
        <w:gridCol w:w="5528"/>
        <w:gridCol w:w="1418"/>
      </w:tblGrid>
      <w:tr>
        <w:trPr>
          <w:tblHeader w:val="0"/>
          <w:cantSplit w:val="0"/>
          <w:trHeight w:val="0" w:hRule="auto"/>
        </w:trPr>
        <w:tc>
          <w:tcPr>
            <w:tcW w:w="2093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552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Реферат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Доклад/Презентация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Научно есе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Учебна екскурзия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/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09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52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solid" w:color="C0C0C0" tmshd="1677721856, 0, 12632256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621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3"/>
        <w:tabOrder w:val="0"/>
        <w:jc w:val="left"/>
        <w:tblInd w:w="0" w:type="dxa"/>
        <w:tblW w:w="8296" w:type="dxa"/>
      </w:tblPr>
      <w:tblGrid>
        <w:gridCol w:w="522"/>
        <w:gridCol w:w="5122"/>
        <w:gridCol w:w="2652"/>
      </w:tblGrid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</w:r>
          </w:p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№</w:t>
            </w:r>
          </w:p>
        </w:tc>
        <w:tc>
          <w:tcPr>
            <w:tcW w:w="5122" w:type="dxa"/>
            <w:vAlign w:val="center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char19"/>
                <w:rFonts w:ascii="Times New Roman" w:hAnsi="Times New Roman" w:eastAsia="Aptos Display" w:cs="Times New Roman"/>
                <w:b/>
              </w:rPr>
            </w:r>
            <w:r>
              <w:rPr>
                <w:rStyle w:val="char19"/>
                <w:rFonts w:ascii="Times New Roman" w:hAnsi="Times New Roman" w:eastAsia="Aptos Display" w:cs="Times New Roman"/>
                <w:b/>
              </w:rPr>
              <w:footnoteReference w:id="1"/>
            </w:r>
            <w:r>
              <w:rPr>
                <w:rFonts w:ascii="Times New Roman" w:hAnsi="Times New Roman" w:cs="Times New Roman"/>
                <w:b/>
                <w:lang w:val="bg-bg"/>
              </w:rPr>
            </w:r>
          </w:p>
        </w:tc>
        <w:tc>
          <w:tcPr>
            <w:tcW w:w="2652" w:type="dxa"/>
            <w:vAlign w:val="center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15"/>
              <w:spacing w:before="40"/>
              <w:tabs defTabSz="720">
                <w:tab w:val="clear" w:pos="4153" w:leader="none"/>
                <w:tab w:val="clear" w:pos="8306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тематични дискусии в часовете</w:t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Посещения на културни обекти </w:t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Изпит + Курсова работа (КИ)</w:t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368" w:hRule="atLeast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numPr>
                <w:ilvl w:val="0"/>
                <w:numId w:val="2"/>
              </w:numPr>
              <w:ind w:left="284" w:hanging="284"/>
              <w:spacing w:before="40"/>
              <w:tabs defTabSz="720">
                <w:tab w:val="left" w:pos="284" w:leader="none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  <w:tc>
          <w:tcPr>
            <w:tcW w:w="512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652" w:type="dxa"/>
            <w:vAlign w:val="center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gridSpan w:val="3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ind w:firstLine="7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„ЛИТЕРАТУРНИЯТ ГРАД (ПРЕДСТАВИ ЗА ГРАДА В БЪЛГАРСКАТА ЛИТЕРАТУРА В НАЧАЛОТО НА ХХ ВЕК)“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предназначен за студенти от специалност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ите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Българска филология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“,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3, 4, 5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Целта на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numPr>
                <w:ilvl w:val="0"/>
                <w:numId w:val="1"/>
              </w:numPr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предложи типологизация на  литературните представи за града, създадени в българската литература в началото на ХХ в. на основата на определени естетически разбирания и под влиянието на споделяни от авторите политически и/или социални идеи</w:t>
            </w:r>
          </w:p>
          <w:p>
            <w:pPr>
              <w:pStyle w:val="para3"/>
              <w:numPr>
                <w:ilvl w:val="0"/>
                <w:numId w:val="1"/>
              </w:numPr>
              <w:ind w:left="0" w:firstLine="0"/>
              <w:spacing w:line="360" w:lineRule="auto"/>
              <w:tabs defTabSz="720"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коментира набора от разнопосочните дискурсивни образи на града в конкретни творби;</w:t>
            </w:r>
          </w:p>
          <w:p>
            <w:pPr>
              <w:pStyle w:val="para3"/>
              <w:numPr>
                <w:ilvl w:val="0"/>
                <w:numId w:val="1"/>
              </w:numPr>
              <w:ind w:left="0" w:firstLine="0"/>
              <w:spacing w:line="360" w:lineRule="auto"/>
              <w:tabs defTabSz="720"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разкрие естетическата и идеологическа основа на тези образи;</w:t>
            </w:r>
          </w:p>
          <w:p>
            <w:pPr>
              <w:pStyle w:val="para3"/>
              <w:numPr>
                <w:ilvl w:val="0"/>
                <w:numId w:val="1"/>
              </w:numPr>
              <w:ind w:left="0" w:firstLine="0"/>
              <w:spacing w:line="360" w:lineRule="auto"/>
              <w:tabs defTabSz="720"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 опише специфичните елементи и черти на естетическите и идеологически влияния върху получилите се образи на града;</w:t>
            </w:r>
          </w:p>
          <w:p>
            <w:pPr>
              <w:pStyle w:val="para3"/>
              <w:numPr>
                <w:ilvl w:val="0"/>
                <w:numId w:val="1"/>
              </w:numPr>
              <w:ind w:left="0" w:firstLine="0"/>
              <w:spacing w:line="360" w:lineRule="auto"/>
              <w:tabs defTabSz="720">
                <w:tab w:val="left" w:pos="360" w:leader="none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 свърже писателската нагласа към града и спецификата на творческото му усвояване с характеристиките на контекста и особеностите на съсъществуващите творчески поколения в първите две десетилетия на ХХ в. </w:t>
            </w:r>
          </w:p>
          <w:p>
            <w:pPr>
              <w:pStyle w:val="para3"/>
              <w:ind w:left="36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Периодът не е избран случайно – в първите десетилетия на ХХ в. завършват започналите в първите следосвобожденски години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явни процеси на засилена урбанизация; „градът на градовете“, какъвто е столицата София, се е превърнал в безспорен културен феномен; градът (столица или провинциален)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е утвърдил като място на различима нова по тип култура, предлагащ кардинално променена жизнена ситуация и жизнена практика на големи маси от хора, по произход чужди на града, но принудени да се стичат към него. Градът с предлагания нов бит, нови социални йерархии, нов институционален ред, нови ценности и жизнени целеполагания все по-категорично влияе върху структурата на човешкия живот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взаимоотношения,  градският тип живеене с проблемите, които поражда, се превръща  в интересен обект за творческо възсъздаване от страна на творци с различна идейно-художествена нагласа (реалисти, модернисти, народници, социалисти).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друга страна, градът е различима тема в литературата от периода, а литературните творби със своята идейна разнопосочност и естетически специфики предлагат широк спектър от интерпретации на града, благодатни за конкретни представяния и коментари.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pStyle w:val="par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ind w:firstLine="708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</w:tbl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4"/>
        <w:tabOrder w:val="0"/>
        <w:jc w:val="left"/>
        <w:tblInd w:w="0" w:type="dxa"/>
        <w:tblW w:w="8296" w:type="dxa"/>
      </w:tblPr>
      <w:tblGrid>
        <w:gridCol w:w="8296"/>
      </w:tblGrid>
      <w:tr>
        <w:trPr>
          <w:tblHeader w:val="0"/>
          <w:cantSplit w:val="0"/>
          <w:trHeight w:val="0" w:hRule="auto"/>
        </w:trPr>
        <w:tc>
          <w:tcPr>
            <w:tcW w:w="8296" w:type="dxa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Предварителни изисквания: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Студентите да имат осъзнат интерес към града като социален, архитектурен, културен феномен и да имат нагласата да мислят в системата на сложни връзки между културна история, естетическа система и идеология, когато подхождат и интерпретират дискурсивните проекции на града в конкретни литературни творби.  </w:t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</w:tc>
      </w:tr>
    </w:tbl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tbl>
      <w:tblPr>
        <w:name w:val="Таблица5"/>
        <w:tabOrder w:val="0"/>
        <w:jc w:val="left"/>
        <w:tblInd w:w="0" w:type="dxa"/>
        <w:tblW w:w="8296" w:type="dxa"/>
      </w:tblPr>
      <w:tblGrid>
        <w:gridCol w:w="8296"/>
      </w:tblGrid>
      <w:tr>
        <w:trPr>
          <w:tblHeader w:val="0"/>
          <w:cantSplit w:val="0"/>
          <w:trHeight w:val="0" w:hRule="auto"/>
        </w:trPr>
        <w:tc>
          <w:tcPr>
            <w:tcW w:w="8296" w:type="dxa"/>
            <w:shd w:val="solid" w:color="D9D9D9" tmshd="1677721856, 0, 14277081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29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Културологични познания върху историята на града като архитектурен, социален, културен феномен;</w:t>
            </w:r>
          </w:p>
          <w:p>
            <w:pPr>
              <w:spacing w:before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разширен поглед върху българската литература в периода от края на 19 и началото на 20 в (допълнителни автори и творби);</w:t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разширени интерпретативни умения за работа  с художествен текст.</w:t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  <w:p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</w:r>
          </w:p>
        </w:tc>
      </w:tr>
    </w:tbl>
    <w:p>
      <w:pPr>
        <w: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pStyle w:val="para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pStyle w:val="para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</w:r>
    </w:p>
    <w:p>
      <w:pPr>
        <w:pStyle w:val="para4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 съдържание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</w:r>
    </w:p>
    <w:p>
      <w:pPr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</w:r>
    </w:p>
    <w:p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</w:r>
    </w:p>
    <w:tbl>
      <w:tblPr>
        <w:name w:val="Таблица6"/>
        <w:tabOrder w:val="0"/>
        <w:jc w:val="left"/>
        <w:tblInd w:w="66" w:type="dxa"/>
        <w:tblW w:w="9502" w:type="dxa"/>
      </w:tblPr>
      <w:tblGrid>
        <w:gridCol w:w="1441"/>
        <w:gridCol w:w="5794"/>
        <w:gridCol w:w="2267"/>
      </w:tblGrid>
      <w:tr>
        <w:trPr>
          <w:tblHeader w:val="0"/>
          <w:cantSplit w:val="0"/>
          <w:trHeight w:val="26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Тема №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темата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Хорариум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Как градът става тема и проблем в българската литература в началото на ХХ в.</w:t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Типологизация на големите наративи при изграждането на литературното му битие</w:t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359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Литературният град на реализма и социално-критичния реализъм в прозата от началото на ХХ в. Психологизация на градското живеене (Ив. Вазов, Г. Стаматов, М. Георгиев, Ел. Пелин, А. Страшимиров, Евг. Димитрова, А. Протич и др.)</w:t>
            </w:r>
          </w:p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>
        <w:trPr>
          <w:tblHeader w:val="0"/>
          <w:cantSplit w:val="0"/>
          <w:trHeight w:val="1359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Народническо-социалистически литературни образи на града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(Т. Влайков, Ц. Церковски и др.)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</w:tr>
      <w:tr>
        <w:trPr>
          <w:tblHeader w:val="0"/>
          <w:cantSplit w:val="0"/>
          <w:trHeight w:val="1093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Лява, пролетарска представа за града в началото на ХХ в. (Димитър Полянов, Георги Кирков и др.)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pStyle w:val="para13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Ранномодернистични (де)естетизации на града – разбирания, подходи, поетически практики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Индивидуалистката модернистична визия за града</w:t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</w:tr>
      <w:tr>
        <w:trPr>
          <w:tblHeader w:val="0"/>
          <w:cantSplit w:val="0"/>
          <w:trHeight w:val="162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Символистични проекции на града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4</w:t>
            </w:r>
          </w:p>
        </w:tc>
      </w:tr>
      <w:tr>
        <w:trPr>
          <w:tblHeader w:val="0"/>
          <w:cantSplit w:val="0"/>
          <w:trHeight w:val="1359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Посоки на литературно усвояване на град в следвоенната българска литература (20-те години на ХХ в.)</w:t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1078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1093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26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265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  <w:tr>
        <w:trPr>
          <w:tblHeader w:val="0"/>
          <w:cantSplit w:val="0"/>
          <w:trHeight w:val="70" w:hRule="atLeast"/>
        </w:trPr>
        <w:tc>
          <w:tcPr>
            <w:tcW w:w="144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579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tabs defTabSz="720">
                <w:tab w:val="left" w:pos="720" w:leader="none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226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34563048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</w:r>
          </w:p>
        </w:tc>
      </w:tr>
    </w:tbl>
    <w:p>
      <w:pPr>
        <w:pStyle w:val="para16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pStyle w:val="para16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Избрана библиография </w:t>
      </w:r>
    </w:p>
    <w:p>
      <w:pPr>
        <w:pStyle w:val="para16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Валери Стефанов, Биляна Борисова. Книжовност и литература в България </w:t>
      </w:r>
      <w:r>
        <w:rPr>
          <w:rFonts w:ascii="Times New Roman" w:hAnsi="Times New Roman" w:cs="Times New Roman"/>
          <w:bCs/>
          <w:sz w:val="24"/>
          <w:szCs w:val="24"/>
        </w:rPr>
        <w:t>IX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XXI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в. Модерност. С, УИ, 2022.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Валери Стефанов, Биляна Борисова. Книжовност и литература в България </w:t>
      </w:r>
      <w:r>
        <w:rPr>
          <w:rFonts w:ascii="Times New Roman" w:hAnsi="Times New Roman" w:cs="Times New Roman"/>
          <w:bCs/>
          <w:sz w:val="24"/>
          <w:szCs w:val="24"/>
        </w:rPr>
        <w:t>IX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XXI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вт. разш. изд., С., УИ, 2024.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Милена Кирова. Българска литература от Освобождението до Първата световна война, С., т.1, 2016; т. 2, 2018, т. 3, 2020.</w:t>
      </w:r>
    </w:p>
    <w:p>
      <w:pPr>
        <w:spacing w:line="360" w:lineRule="auto"/>
        <w:widowControl w:val="0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Кирова, М. Проблематичният реализъм. С., 2003.</w:t>
      </w:r>
    </w:p>
    <w:p>
      <w:pPr>
        <w:spacing w:line="360" w:lineRule="auto"/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Критическа христоматия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история на българската литература (1878-1914). Съст. Биляна Борисова, Кристина Йорданова. С., 2019.</w:t>
      </w:r>
    </w:p>
    <w:p>
      <w:pPr>
        <w:spacing w:line="360" w:lineRule="auto"/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Стефанов, В. Българска литература ХХ век. С.,2007.</w:t>
      </w:r>
    </w:p>
    <w:p>
      <w:pPr>
        <w:spacing w:line="360" w:lineRule="auto"/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Стефанов, В. Българска  словесна култура. С., 2010.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Розалия Ликова. Проблеми на българския символизъм, С. 1985.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Розалия Ликова. Портрети на български символисти. С. 1987.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Симеон хаджикосев. Българският символизъм, С., БП, 1979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Симеон Хаджикосев. </w:t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>Българският символизъм и европейският модернизъм</w:t>
      </w:r>
      <w:r>
        <w:rPr>
          <w:rFonts w:ascii="Times New Roman" w:hAnsi="Times New Roman" w:cs="Times New Roman"/>
          <w:sz w:val="24"/>
          <w:szCs w:val="24"/>
          <w:lang w:val="bg-bg"/>
        </w:rPr>
        <w:t>. С., Наука и изкуство, 1974.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Димитър Аврамов. Естетика на модерното изкуство, С. 2008.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Алманах „България ХХ век“. </w:t>
      </w: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Велинова, З., Начев, И. София и балканската модерност (1878-1914). С., Рива, 2016.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Георгиев, Г. София и софиянци 1878-1944. С.,  Наука и изкуство, 1983.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Градът: социална реалност и представа. Антология. Съст. М. Грекова, 2002.</w:t>
      </w:r>
    </w:p>
    <w:p>
      <w:pPr>
        <w:spacing w:line="360" w:lineRule="auto"/>
        <w:tabs defTabSz="720">
          <w:tab w:val="right" w:pos="9360" w:leader="none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Градът: символи, образи, идентичности. Сборник. Съст. Светлана Христова. С., ИК ЛИК, 2002.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Земел, Георг. Големият град и духовният живот. В: Социологически проблеми. Бр. 1-2, 2001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Костенцева, Р. Моят роден град София в края на 19 – началото на 20 век и след това. С., изд. Рива, 2008.</w:t>
      </w:r>
    </w:p>
    <w:p>
      <w:pPr>
        <w:spacing w:line="360" w:lineRule="auto"/>
        <w:tabs defTabSz="720">
          <w:tab w:val="right" w:pos="9360" w:leader="none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Дичев, Ивайло. Пространства на желанието, желания на пространството. Етюди по градска антропология. С., ИК Изток-Запад, 2005.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Кафене Европа. Сборник. С., Изд. Дамян Яков, 2007.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Кръстанова, К. Културни практики за конструиране образите на града. В: Български фолклор, бр. 1-2, 2004.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Маркъл, Рубън. Запознайте се с България. С., 2024.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Петров, Здравко. Исторически маршрути: София. С., 2019.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Пожарлиев, Р.. Кръчми и ресторанти. В: Критика и хуманизъм, бр. 1, 2005.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Радославов, Ив. Градът. В: Критическа христоматия по история на българската литература от Освобождението до Първата световна война (1878 – 1914). С., УИ, 2019.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Свинтила, В. Вълшебни приказки от средновековна София. Чаршията на златарите“, изд. Захарий Стоянов, 2017.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Станоева, Е. Софийският трамвай (1901 – 1934). Дискурс върху градската модернизация. В: Критика и хуманизъм, бр. 1, 2005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Христов, Петко. Чаршията/пазара и пиацата за наемен труд в София като „канал“ за обмен на културни стереотипи. В: Балканистичен форум, бр. 1-3.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Юруков, Любомир, Иван Бърнев-Буби. Непознатата София. С., Изток-Запад, 2005.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Якимова, Милена. София на простолюдието. С., Изток-Запад, 2010.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Новата земя.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Места и маршрути в българската белетристика от 90-те години на 19 век. Виртуална карта/уеб приложение –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http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dipzone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net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wp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content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uploads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/2020/26-11-20/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index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  <w:lang w:val="bg-bg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color="auto" w:val="single"/>
          </w:rPr>
          <w:t>html</w:t>
        </w:r>
      </w:hyperlink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Антология на българския поетически модернизъм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литературната периодика (1892-1919). Съст. Биляна Борисова, Кристина Йорданова - </w:t>
      </w:r>
      <w:hyperlink r:id="rId10" w:history="1"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http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://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digilib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.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nalis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.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bg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xmlui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handle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</w:rPr>
          <w:t>nls</w:t>
        </w:r>
        <w:r>
          <w:rPr>
            <w:rStyle w:val="char20"/>
            <w:rFonts w:ascii="Times New Roman" w:hAnsi="Times New Roman" w:eastAsia="Aptos Display" w:cs="Times New Roman"/>
            <w:sz w:val="24"/>
            <w:szCs w:val="24"/>
            <w:lang w:val="bg-bg"/>
          </w:rPr>
          <w:t>/32218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80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Aptos">
    <w:panose1 w:val="020B0604020202020204"/>
    <w:charset w:val="00"/>
    <w:family w:val="swiss"/>
    <w:pitch w:val="default"/>
  </w:font>
  <w:font w:name="MS Sans Serif">
    <w:panose1 w:val="020B0604020202020204"/>
    <w:charset w:val="00"/>
    <w:family w:val="swiss"/>
    <w:pitch w:val="default"/>
  </w:font>
  <w:font w:name="Aptos Display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1">
    <w:p>
      <w:pPr>
        <w:pStyle w:val="para17"/>
        <w:rPr>
          <w:rFonts w:ascii="Times New Roman" w:hAnsi="Times New Roman"/>
          <w:lang w:val="bg-bg"/>
        </w:rPr>
      </w:pPr>
      <w:r>
        <w:rPr>
          <w:rStyle w:val="char19"/>
          <w:rFonts w:eastAsia="Aptos Display"/>
        </w:rPr>
      </w:r>
      <w:r>
        <w:rPr>
          <w:rStyle w:val="char19"/>
          <w:rFonts w:eastAsia="Aptos Display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  <w:r>
        <w:rPr>
          <w:rFonts w:ascii="Times New Roman" w:hAnsi="Times New Roman"/>
          <w:lang w:val="bg-bg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омериран списък 1"/>
    <w:lvl w:ilvl="0">
      <w:numFmt w:val="bullet"/>
      <w:suff w:val="tab"/>
      <w:lvlText w:val="–"/>
      <w:lvlJc w:val="left"/>
      <w:pPr>
        <w:ind w:left="360" w:hanging="0"/>
      </w:pPr>
      <w:rPr>
        <w:rFonts w:ascii="Times New Roman" w:hAnsi="Times New Roman" w:eastAsia="Aptos Display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омериран списъ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Фигура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456304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hAnsi="Aptos" w:eastAsia="Aptos" w:cs="Times New Roman"/>
        <w:kern w:val="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MS Sans Serif" w:hAnsi="MS Sans Serif" w:eastAsia="Times New Roman" w:cs="MS Sans Serif"/>
      <w:sz w:val="20"/>
      <w:szCs w:val="20"/>
      <w:lang w:eastAsia="zh-c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/>
      <w:color w:val="0f4761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Aptos Display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Aptos Display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Aptos Display" w:hAnsi="Aptos Display" w:eastAsia="Aptos Display"/>
      <w:spacing w:val="-10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/>
      <w:color w:val="595959"/>
      <w:spacing w:val="15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15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16">
    <w:name w:val="Body Text"/>
    <w:qFormat/>
    <w:basedOn w:val="para0"/>
    <w:pPr>
      <w:spacing/>
      <w:jc w:val="center"/>
    </w:pPr>
    <w:rPr>
      <w:sz w:val="28"/>
      <w:szCs w:val="28"/>
      <w:lang w:val="bg-bg"/>
    </w:rPr>
  </w:style>
  <w:style w:type="paragraph" w:styleId="para17">
    <w:name w:val="Footnote Text"/>
    <w:qFormat/>
    <w:basedOn w:val="para0"/>
    <w:rPr>
      <w:rFonts w:cs="Times New Roman"/>
      <w:noProof w:val="1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/>
      <w:color w:val="0f4761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/>
      <w:color w:val="0f4761"/>
      <w:sz w:val="32"/>
      <w:szCs w:val="32"/>
    </w:rPr>
  </w:style>
  <w:style w:type="character" w:styleId="char3" w:customStyle="1">
    <w:name w:val="Heading 3 Char"/>
    <w:basedOn w:val="char0"/>
    <w:rPr>
      <w:rFonts w:eastAsia="Aptos Display"/>
      <w:color w:val="0f4761"/>
      <w:sz w:val="28"/>
      <w:szCs w:val="28"/>
    </w:rPr>
  </w:style>
  <w:style w:type="character" w:styleId="char4" w:customStyle="1">
    <w:name w:val="Heading 4 Char"/>
    <w:basedOn w:val="char0"/>
    <w:rPr>
      <w:rFonts w:eastAsia="Aptos Display"/>
      <w:i/>
      <w:iCs/>
      <w:color w:val="0f4761"/>
    </w:rPr>
  </w:style>
  <w:style w:type="character" w:styleId="char5" w:customStyle="1">
    <w:name w:val="Heading 5 Char"/>
    <w:basedOn w:val="char0"/>
    <w:rPr>
      <w:rFonts w:eastAsia="Aptos Display"/>
      <w:color w:val="0f4761"/>
    </w:rPr>
  </w:style>
  <w:style w:type="character" w:styleId="char6" w:customStyle="1">
    <w:name w:val="Heading 6 Char"/>
    <w:basedOn w:val="char0"/>
    <w:rPr>
      <w:rFonts w:eastAsia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/>
      <w:color w:val="595959"/>
    </w:rPr>
  </w:style>
  <w:style w:type="character" w:styleId="char8" w:customStyle="1">
    <w:name w:val="Heading 8 Char"/>
    <w:basedOn w:val="char0"/>
    <w:rPr>
      <w:rFonts w:eastAsia="Aptos Display"/>
      <w:i/>
      <w:iCs/>
      <w:color w:val="272727"/>
    </w:rPr>
  </w:style>
  <w:style w:type="character" w:styleId="char9" w:customStyle="1">
    <w:name w:val="Heading 9 Char"/>
    <w:basedOn w:val="char0"/>
    <w:rPr>
      <w:rFonts w:eastAsia="Aptos Display"/>
      <w:color w:val="272727"/>
    </w:rPr>
  </w:style>
  <w:style w:type="character" w:styleId="char10" w:customStyle="1">
    <w:name w:val="Title Char"/>
    <w:basedOn w:val="char0"/>
    <w:rPr>
      <w:rFonts w:ascii="Aptos Display" w:hAnsi="Aptos Display" w:eastAsia="Aptos Display"/>
      <w:spacing w:val="-10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/>
      <w:color w:val="595959"/>
      <w:spacing w:val="15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Intense Quote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/>
      <w:color w:val="0f4761"/>
      <w:spacing w:val="5"/>
    </w:rPr>
  </w:style>
  <w:style w:type="character" w:styleId="char16" w:customStyle="1">
    <w:name w:val="Header Char"/>
    <w:basedOn w:val="char0"/>
    <w:rPr>
      <w:rFonts w:ascii="MS Sans Serif" w:hAnsi="MS Sans Serif" w:eastAsia="Times New Roman" w:cs="MS Sans Serif"/>
      <w:kern w:val="0"/>
      <w:sz w:val="20"/>
      <w:szCs w:val="20"/>
      <w:lang w:eastAsia="zh-cn"/>
    </w:rPr>
  </w:style>
  <w:style w:type="character" w:styleId="char17" w:customStyle="1">
    <w:name w:val="Body Text Char"/>
    <w:basedOn w:val="char0"/>
    <w:rPr>
      <w:rFonts w:ascii="MS Sans Serif" w:hAnsi="MS Sans Serif" w:eastAsia="Times New Roman" w:cs="MS Sans Serif"/>
      <w:kern w:val="0"/>
      <w:sz w:val="28"/>
      <w:szCs w:val="28"/>
      <w:lang w:val="bg-bg" w:eastAsia="zh-cn"/>
    </w:rPr>
  </w:style>
  <w:style w:type="character" w:styleId="char18" w:customStyle="1">
    <w:name w:val="Footnote Text Char"/>
    <w:basedOn w:val="char0"/>
    <w:rPr>
      <w:rFonts w:ascii="MS Sans Serif" w:hAnsi="MS Sans Serif" w:eastAsia="Times New Roman" w:cs="Times New Roman"/>
      <w:kern w:val="0"/>
      <w:sz w:val="20"/>
      <w:szCs w:val="20"/>
      <w:noProof w:val="1"/>
      <w:lang w:eastAsia="zh-cn"/>
    </w:rPr>
  </w:style>
  <w:style w:type="character" w:styleId="char19">
    <w:name w:val="Footnote Reference"/>
    <w:rPr>
      <w:vertAlign w:val="superscript"/>
    </w:rPr>
  </w:style>
  <w:style w:type="character" w:styleId="char20">
    <w:name w:val="Hyperlink"/>
    <w:rPr>
      <w:color w:val="0563c1"/>
      <w:u w:color="auto" w:val="single"/>
    </w:rPr>
  </w:style>
  <w:style w:type="table" w:default="1" w:styleId="TableNormal">
    <w:name w:val="Нормална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hAnsi="Aptos" w:eastAsia="Aptos" w:cs="Times New Roman"/>
        <w:kern w:val="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MS Sans Serif" w:hAnsi="MS Sans Serif" w:eastAsia="Times New Roman" w:cs="MS Sans Serif"/>
      <w:sz w:val="20"/>
      <w:szCs w:val="20"/>
      <w:lang w:eastAsia="zh-cn"/>
    </w:rPr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Aptos Display" w:hAnsi="Aptos Display" w:eastAsia="Aptos Display"/>
      <w:color w:val="0f4761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Aptos Display" w:hAnsi="Aptos Display" w:eastAsia="Aptos Display"/>
      <w:color w:val="0f4761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Aptos Display"/>
      <w:color w:val="0f4761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Aptos Display"/>
      <w:i/>
      <w:iCs/>
      <w:color w:val="0f4761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Aptos Display"/>
      <w:color w:val="0f4761"/>
    </w:rPr>
  </w:style>
  <w:style w:type="paragraph" w:styleId="para6">
    <w:name w:val="heading 6"/>
    <w:qFormat/>
    <w:basedOn w:val="para0"/>
    <w:next w:val="para0"/>
    <w:pPr>
      <w:spacing w:before="40"/>
      <w:keepNext/>
      <w:outlineLvl w:val="5"/>
      <w:keepLines/>
    </w:pPr>
    <w:rPr>
      <w:rFonts w:eastAsia="Aptos Display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/>
      <w:keepNext/>
      <w:outlineLvl w:val="6"/>
      <w:keepLines/>
    </w:pPr>
    <w:rPr>
      <w:rFonts w:eastAsia="Aptos Display"/>
      <w:color w:val="595959"/>
    </w:rPr>
  </w:style>
  <w:style w:type="paragraph" w:styleId="para8">
    <w:name w:val="heading 8"/>
    <w:qFormat/>
    <w:basedOn w:val="para0"/>
    <w:next w:val="para0"/>
    <w:pPr>
      <w:keepNext/>
      <w:outlineLvl w:val="7"/>
      <w:keepLines/>
    </w:pPr>
    <w:rPr>
      <w:rFonts w:eastAsia="Aptos Display"/>
      <w:i/>
      <w:iCs/>
      <w:color w:val="272727"/>
    </w:rPr>
  </w:style>
  <w:style w:type="paragraph" w:styleId="para9">
    <w:name w:val="heading 9"/>
    <w:qFormat/>
    <w:basedOn w:val="para0"/>
    <w:next w:val="para0"/>
    <w:pPr>
      <w:keepNext/>
      <w:outlineLvl w:val="8"/>
      <w:keepLines/>
    </w:pPr>
    <w:rPr>
      <w:rFonts w:eastAsia="Aptos Display"/>
      <w:color w:val="272727"/>
    </w:rPr>
  </w:style>
  <w:style w:type="paragraph" w:styleId="para10">
    <w:name w:val="Title"/>
    <w:qFormat/>
    <w:basedOn w:val="para0"/>
    <w:next w:val="para0"/>
    <w:pPr>
      <w:spacing w:after="80"/>
      <w:contextualSpacing/>
    </w:pPr>
    <w:rPr>
      <w:rFonts w:ascii="Aptos Display" w:hAnsi="Aptos Display" w:eastAsia="Aptos Display"/>
      <w:spacing w:val="-10"/>
      <w:sz w:val="56"/>
      <w:szCs w:val="56"/>
    </w:rPr>
  </w:style>
  <w:style w:type="paragraph" w:styleId="para11">
    <w:name w:val="Subtitle"/>
    <w:qFormat/>
    <w:basedOn w:val="para0"/>
    <w:next w:val="para0"/>
    <w:rPr>
      <w:rFonts w:eastAsia="Aptos Display"/>
      <w:color w:val="595959"/>
      <w:spacing w:val="15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0F4761" tmln="10, 20, 20, 0, 200"/>
        <w:left w:val="nil" w:sz="0" w:space="3" w:color="000000" tmln="20, 20, 20, 0, 60"/>
        <w:bottom w:val="single" w:sz="4" w:space="10" w:color="0F4761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0f4761"/>
    </w:rPr>
  </w:style>
  <w:style w:type="paragraph" w:styleId="para15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16">
    <w:name w:val="Body Text"/>
    <w:qFormat/>
    <w:basedOn w:val="para0"/>
    <w:pPr>
      <w:spacing/>
      <w:jc w:val="center"/>
    </w:pPr>
    <w:rPr>
      <w:sz w:val="28"/>
      <w:szCs w:val="28"/>
      <w:lang w:val="bg-bg"/>
    </w:rPr>
  </w:style>
  <w:style w:type="paragraph" w:styleId="para17">
    <w:name w:val="Footnote Text"/>
    <w:qFormat/>
    <w:basedOn w:val="para0"/>
    <w:rPr>
      <w:rFonts w:cs="Times New Roman"/>
      <w:noProof w:val="1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ptos Display" w:hAnsi="Aptos Display" w:eastAsia="Aptos Display"/>
      <w:color w:val="0f4761"/>
      <w:sz w:val="40"/>
      <w:szCs w:val="40"/>
    </w:rPr>
  </w:style>
  <w:style w:type="character" w:styleId="char2" w:customStyle="1">
    <w:name w:val="Heading 2 Char"/>
    <w:basedOn w:val="char0"/>
    <w:rPr>
      <w:rFonts w:ascii="Aptos Display" w:hAnsi="Aptos Display" w:eastAsia="Aptos Display"/>
      <w:color w:val="0f4761"/>
      <w:sz w:val="32"/>
      <w:szCs w:val="32"/>
    </w:rPr>
  </w:style>
  <w:style w:type="character" w:styleId="char3" w:customStyle="1">
    <w:name w:val="Heading 3 Char"/>
    <w:basedOn w:val="char0"/>
    <w:rPr>
      <w:rFonts w:eastAsia="Aptos Display"/>
      <w:color w:val="0f4761"/>
      <w:sz w:val="28"/>
      <w:szCs w:val="28"/>
    </w:rPr>
  </w:style>
  <w:style w:type="character" w:styleId="char4" w:customStyle="1">
    <w:name w:val="Heading 4 Char"/>
    <w:basedOn w:val="char0"/>
    <w:rPr>
      <w:rFonts w:eastAsia="Aptos Display"/>
      <w:i/>
      <w:iCs/>
      <w:color w:val="0f4761"/>
    </w:rPr>
  </w:style>
  <w:style w:type="character" w:styleId="char5" w:customStyle="1">
    <w:name w:val="Heading 5 Char"/>
    <w:basedOn w:val="char0"/>
    <w:rPr>
      <w:rFonts w:eastAsia="Aptos Display"/>
      <w:color w:val="0f4761"/>
    </w:rPr>
  </w:style>
  <w:style w:type="character" w:styleId="char6" w:customStyle="1">
    <w:name w:val="Heading 6 Char"/>
    <w:basedOn w:val="char0"/>
    <w:rPr>
      <w:rFonts w:eastAsia="Aptos Display"/>
      <w:i/>
      <w:iCs/>
      <w:color w:val="595959"/>
    </w:rPr>
  </w:style>
  <w:style w:type="character" w:styleId="char7" w:customStyle="1">
    <w:name w:val="Heading 7 Char"/>
    <w:basedOn w:val="char0"/>
    <w:rPr>
      <w:rFonts w:eastAsia="Aptos Display"/>
      <w:color w:val="595959"/>
    </w:rPr>
  </w:style>
  <w:style w:type="character" w:styleId="char8" w:customStyle="1">
    <w:name w:val="Heading 8 Char"/>
    <w:basedOn w:val="char0"/>
    <w:rPr>
      <w:rFonts w:eastAsia="Aptos Display"/>
      <w:i/>
      <w:iCs/>
      <w:color w:val="272727"/>
    </w:rPr>
  </w:style>
  <w:style w:type="character" w:styleId="char9" w:customStyle="1">
    <w:name w:val="Heading 9 Char"/>
    <w:basedOn w:val="char0"/>
    <w:rPr>
      <w:rFonts w:eastAsia="Aptos Display"/>
      <w:color w:val="272727"/>
    </w:rPr>
  </w:style>
  <w:style w:type="character" w:styleId="char10" w:customStyle="1">
    <w:name w:val="Title Char"/>
    <w:basedOn w:val="char0"/>
    <w:rPr>
      <w:rFonts w:ascii="Aptos Display" w:hAnsi="Aptos Display" w:eastAsia="Aptos Display"/>
      <w:spacing w:val="-10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Aptos Display"/>
      <w:color w:val="595959"/>
      <w:spacing w:val="15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0f4761"/>
    </w:rPr>
  </w:style>
  <w:style w:type="character" w:styleId="char14" w:customStyle="1">
    <w:name w:val="Intense Quote Char"/>
    <w:basedOn w:val="char0"/>
    <w:rPr>
      <w:i/>
      <w:iCs/>
      <w:color w:val="0f4761"/>
    </w:rPr>
  </w:style>
  <w:style w:type="character" w:styleId="char15">
    <w:name w:val="Intense Reference"/>
    <w:basedOn w:val="char0"/>
    <w:rPr>
      <w:b/>
      <w:bCs/>
      <w:smallCaps/>
      <w:color w:val="0f4761"/>
      <w:spacing w:val="5"/>
    </w:rPr>
  </w:style>
  <w:style w:type="character" w:styleId="char16" w:customStyle="1">
    <w:name w:val="Header Char"/>
    <w:basedOn w:val="char0"/>
    <w:rPr>
      <w:rFonts w:ascii="MS Sans Serif" w:hAnsi="MS Sans Serif" w:eastAsia="Times New Roman" w:cs="MS Sans Serif"/>
      <w:kern w:val="0"/>
      <w:sz w:val="20"/>
      <w:szCs w:val="20"/>
      <w:lang w:eastAsia="zh-cn"/>
    </w:rPr>
  </w:style>
  <w:style w:type="character" w:styleId="char17" w:customStyle="1">
    <w:name w:val="Body Text Char"/>
    <w:basedOn w:val="char0"/>
    <w:rPr>
      <w:rFonts w:ascii="MS Sans Serif" w:hAnsi="MS Sans Serif" w:eastAsia="Times New Roman" w:cs="MS Sans Serif"/>
      <w:kern w:val="0"/>
      <w:sz w:val="28"/>
      <w:szCs w:val="28"/>
      <w:lang w:val="bg-bg" w:eastAsia="zh-cn"/>
    </w:rPr>
  </w:style>
  <w:style w:type="character" w:styleId="char18" w:customStyle="1">
    <w:name w:val="Footnote Text Char"/>
    <w:basedOn w:val="char0"/>
    <w:rPr>
      <w:rFonts w:ascii="MS Sans Serif" w:hAnsi="MS Sans Serif" w:eastAsia="Times New Roman" w:cs="Times New Roman"/>
      <w:kern w:val="0"/>
      <w:sz w:val="20"/>
      <w:szCs w:val="20"/>
      <w:noProof w:val="1"/>
      <w:lang w:eastAsia="zh-cn"/>
    </w:rPr>
  </w:style>
  <w:style w:type="character" w:styleId="char19">
    <w:name w:val="Footnote Reference"/>
    <w:rPr>
      <w:vertAlign w:val="superscript"/>
    </w:rPr>
  </w:style>
  <w:style w:type="character" w:styleId="char20">
    <w:name w:val="Hyperlink"/>
    <w:rPr>
      <w:color w:val="0563c1"/>
      <w:u w:color="auto" w:val="single"/>
    </w:rPr>
  </w:style>
  <w:style w:type="table" w:default="1" w:styleId="TableNormal">
    <w:name w:val="Нормална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hyperlink" Target="http://dipzone.net/wp-content/uploads/2020/26-11-20/index.html" TargetMode="External"/><Relationship Id="rId10" Type="http://schemas.openxmlformats.org/officeDocument/2006/relationships/hyperlink" Target="http://digilib.nalis.bg/xmlui/handle/nls/32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MS Sans Serif"/>
      </a:majorFont>
      <a:minorFont>
        <a:latin typeface="MS Sans Serif"/>
        <a:ea typeface="Times New Roman"/>
        <a:cs typeface="MS Sans Seri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Биляна Борисова Гаврилова</dc:creator>
  <cp:keywords/>
  <dc:description/>
  <cp:lastModifiedBy>Ani Burova</cp:lastModifiedBy>
  <cp:revision>12</cp:revision>
  <dcterms:created xsi:type="dcterms:W3CDTF">2024-12-05T13:18:00Z</dcterms:created>
  <dcterms:modified xsi:type="dcterms:W3CDTF">2024-12-18T23:04:08Z</dcterms:modified>
</cp:coreProperties>
</file>